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8D" w:rsidRPr="00B85E24" w:rsidRDefault="009A778D" w:rsidP="005017A6">
      <w:pPr>
        <w:spacing w:after="0" w:line="240" w:lineRule="auto"/>
        <w:jc w:val="center"/>
        <w:rPr>
          <w:b/>
          <w:sz w:val="38"/>
          <w:szCs w:val="38"/>
        </w:rPr>
      </w:pPr>
      <w:r w:rsidRPr="00B85E24">
        <w:rPr>
          <w:b/>
          <w:sz w:val="38"/>
          <w:szCs w:val="38"/>
        </w:rPr>
        <w:t>Pressemitteilung</w:t>
      </w:r>
    </w:p>
    <w:p w:rsidR="005017A6" w:rsidRPr="007146B6" w:rsidRDefault="005017A6" w:rsidP="005017A6">
      <w:pPr>
        <w:spacing w:after="0" w:line="240" w:lineRule="auto"/>
        <w:jc w:val="center"/>
        <w:rPr>
          <w:sz w:val="12"/>
          <w:szCs w:val="12"/>
        </w:rPr>
      </w:pPr>
    </w:p>
    <w:p w:rsidR="00A60A67" w:rsidRPr="00B85E24" w:rsidRDefault="00996DD5" w:rsidP="005017A6">
      <w:pPr>
        <w:spacing w:after="0" w:line="240" w:lineRule="auto"/>
        <w:jc w:val="center"/>
        <w:rPr>
          <w:b/>
          <w:sz w:val="32"/>
          <w:szCs w:val="32"/>
        </w:rPr>
      </w:pPr>
      <w:r>
        <w:rPr>
          <w:b/>
          <w:sz w:val="32"/>
          <w:szCs w:val="32"/>
        </w:rPr>
        <w:t xml:space="preserve">LIEBE WINZER: </w:t>
      </w:r>
      <w:r w:rsidR="00500E24">
        <w:rPr>
          <w:b/>
          <w:sz w:val="32"/>
          <w:szCs w:val="32"/>
        </w:rPr>
        <w:t xml:space="preserve"> </w:t>
      </w:r>
      <w:r>
        <w:rPr>
          <w:b/>
          <w:sz w:val="32"/>
          <w:szCs w:val="32"/>
        </w:rPr>
        <w:t>BITTE MEHR ZOCKEN!</w:t>
      </w:r>
    </w:p>
    <w:p w:rsidR="00317052" w:rsidRPr="00B85E24" w:rsidRDefault="00996DD5" w:rsidP="005017A6">
      <w:pPr>
        <w:spacing w:after="0" w:line="240" w:lineRule="auto"/>
        <w:jc w:val="center"/>
        <w:rPr>
          <w:sz w:val="32"/>
          <w:szCs w:val="32"/>
        </w:rPr>
      </w:pPr>
      <w:r>
        <w:rPr>
          <w:sz w:val="32"/>
          <w:szCs w:val="32"/>
        </w:rPr>
        <w:t>Dürresommer &amp; Weinlese 2018 aus betriebswirtschaftlicher Sicht</w:t>
      </w:r>
    </w:p>
    <w:p w:rsidR="002D50A6" w:rsidRPr="00927469" w:rsidRDefault="002D50A6" w:rsidP="005017A6">
      <w:pPr>
        <w:spacing w:after="0" w:line="240" w:lineRule="auto"/>
        <w:jc w:val="center"/>
        <w:rPr>
          <w:sz w:val="12"/>
          <w:szCs w:val="12"/>
        </w:rPr>
      </w:pPr>
    </w:p>
    <w:p w:rsidR="0091777F" w:rsidRPr="00B85E24" w:rsidRDefault="0091777F" w:rsidP="005017A6">
      <w:pPr>
        <w:spacing w:after="0" w:line="240" w:lineRule="auto"/>
        <w:jc w:val="center"/>
        <w:rPr>
          <w:sz w:val="21"/>
          <w:szCs w:val="21"/>
        </w:rPr>
      </w:pPr>
      <w:r w:rsidRPr="00B85E24">
        <w:rPr>
          <w:sz w:val="21"/>
          <w:szCs w:val="21"/>
        </w:rPr>
        <w:t xml:space="preserve">Ein Kommentar </w:t>
      </w:r>
      <w:r w:rsidRPr="00B85E24">
        <w:rPr>
          <w:i/>
          <w:sz w:val="21"/>
          <w:szCs w:val="21"/>
        </w:rPr>
        <w:t>de</w:t>
      </w:r>
      <w:r w:rsidR="00996DD5">
        <w:rPr>
          <w:i/>
          <w:sz w:val="21"/>
          <w:szCs w:val="21"/>
        </w:rPr>
        <w:t>r</w:t>
      </w:r>
      <w:r w:rsidRPr="00B85E24">
        <w:rPr>
          <w:i/>
          <w:sz w:val="21"/>
          <w:szCs w:val="21"/>
        </w:rPr>
        <w:t xml:space="preserve"> weinräte</w:t>
      </w:r>
      <w:r w:rsidR="00996DD5">
        <w:rPr>
          <w:sz w:val="21"/>
          <w:szCs w:val="21"/>
        </w:rPr>
        <w:t xml:space="preserve"> zu den unternehmensstrategischen Implikationen des Sommers 2018</w:t>
      </w:r>
    </w:p>
    <w:p w:rsidR="0091777F" w:rsidRPr="00927469" w:rsidRDefault="0091777F" w:rsidP="0091777F">
      <w:pPr>
        <w:spacing w:after="0" w:line="240" w:lineRule="auto"/>
        <w:jc w:val="center"/>
        <w:rPr>
          <w:sz w:val="12"/>
          <w:szCs w:val="12"/>
        </w:rPr>
      </w:pPr>
    </w:p>
    <w:p w:rsidR="00A60A67" w:rsidRPr="00627C11" w:rsidRDefault="00627C11" w:rsidP="005017A6">
      <w:pPr>
        <w:spacing w:after="0" w:line="240" w:lineRule="auto"/>
        <w:jc w:val="center"/>
        <w:rPr>
          <w:sz w:val="20"/>
          <w:szCs w:val="20"/>
        </w:rPr>
      </w:pPr>
      <w:r>
        <w:rPr>
          <w:sz w:val="20"/>
          <w:szCs w:val="20"/>
        </w:rPr>
        <w:t>Geisenheim, den 14</w:t>
      </w:r>
      <w:r w:rsidR="00A60A67" w:rsidRPr="00627C11">
        <w:rPr>
          <w:sz w:val="20"/>
          <w:szCs w:val="20"/>
        </w:rPr>
        <w:t>.0</w:t>
      </w:r>
      <w:r>
        <w:rPr>
          <w:sz w:val="20"/>
          <w:szCs w:val="20"/>
        </w:rPr>
        <w:t>8</w:t>
      </w:r>
      <w:r w:rsidR="00A60A67" w:rsidRPr="00627C11">
        <w:rPr>
          <w:sz w:val="20"/>
          <w:szCs w:val="20"/>
        </w:rPr>
        <w:t>.18</w:t>
      </w:r>
    </w:p>
    <w:p w:rsidR="005A60C0" w:rsidRPr="00927469" w:rsidRDefault="005A60C0" w:rsidP="0047226D">
      <w:pPr>
        <w:tabs>
          <w:tab w:val="left" w:pos="1418"/>
        </w:tabs>
        <w:spacing w:after="0" w:line="240" w:lineRule="auto"/>
        <w:rPr>
          <w:sz w:val="12"/>
          <w:szCs w:val="12"/>
        </w:rPr>
      </w:pPr>
    </w:p>
    <w:p w:rsidR="005062A3" w:rsidRPr="00B85E24" w:rsidRDefault="005017A6" w:rsidP="0047226D">
      <w:pPr>
        <w:tabs>
          <w:tab w:val="left" w:pos="1418"/>
          <w:tab w:val="left" w:pos="2127"/>
          <w:tab w:val="left" w:pos="5812"/>
        </w:tabs>
        <w:spacing w:after="0" w:line="240" w:lineRule="auto"/>
        <w:rPr>
          <w:sz w:val="16"/>
          <w:szCs w:val="16"/>
        </w:rPr>
      </w:pPr>
      <w:r w:rsidRPr="00B85E24">
        <w:rPr>
          <w:sz w:val="16"/>
          <w:szCs w:val="16"/>
        </w:rPr>
        <w:t>_______________________________________________________________________________________________________</w:t>
      </w:r>
    </w:p>
    <w:p w:rsidR="009A778D" w:rsidRPr="007146B6" w:rsidRDefault="009A778D" w:rsidP="0047226D">
      <w:pPr>
        <w:spacing w:after="0" w:line="240" w:lineRule="auto"/>
        <w:jc w:val="center"/>
        <w:rPr>
          <w:sz w:val="12"/>
          <w:szCs w:val="12"/>
        </w:rPr>
      </w:pPr>
    </w:p>
    <w:p w:rsidR="009A778D" w:rsidRPr="00B85E24" w:rsidRDefault="009A778D" w:rsidP="00160CB4">
      <w:pPr>
        <w:spacing w:after="0" w:line="240" w:lineRule="auto"/>
        <w:rPr>
          <w:b/>
          <w:sz w:val="28"/>
          <w:szCs w:val="28"/>
        </w:rPr>
      </w:pPr>
      <w:r w:rsidRPr="00B85E24">
        <w:rPr>
          <w:b/>
          <w:sz w:val="28"/>
          <w:szCs w:val="28"/>
        </w:rPr>
        <w:t xml:space="preserve">KURZVERSION </w:t>
      </w:r>
    </w:p>
    <w:p w:rsidR="009A778D" w:rsidRPr="00B85E24" w:rsidRDefault="009A778D" w:rsidP="0027074D">
      <w:pPr>
        <w:spacing w:after="0" w:line="240" w:lineRule="auto"/>
      </w:pPr>
    </w:p>
    <w:p w:rsidR="007B73F1" w:rsidRPr="00B85E24" w:rsidRDefault="00D91C38" w:rsidP="002969B1">
      <w:pPr>
        <w:spacing w:after="0" w:line="240" w:lineRule="auto"/>
        <w:rPr>
          <w:b/>
        </w:rPr>
      </w:pPr>
      <w:r>
        <w:rPr>
          <w:b/>
        </w:rPr>
        <w:t xml:space="preserve">Ob der 2018er Wein </w:t>
      </w:r>
      <w:r w:rsidR="00C44CE7">
        <w:rPr>
          <w:b/>
        </w:rPr>
        <w:t>das Zeug zum</w:t>
      </w:r>
      <w:r>
        <w:rPr>
          <w:b/>
        </w:rPr>
        <w:t xml:space="preserve"> Jahrhundert</w:t>
      </w:r>
      <w:r w:rsidR="001751C0">
        <w:rPr>
          <w:b/>
        </w:rPr>
        <w:t>j</w:t>
      </w:r>
      <w:r>
        <w:rPr>
          <w:b/>
        </w:rPr>
        <w:t xml:space="preserve">ahrgang </w:t>
      </w:r>
      <w:r w:rsidR="00C44CE7">
        <w:rPr>
          <w:b/>
        </w:rPr>
        <w:t>hat</w:t>
      </w:r>
      <w:r>
        <w:rPr>
          <w:b/>
        </w:rPr>
        <w:t xml:space="preserve">, </w:t>
      </w:r>
      <w:r w:rsidR="00C44CE7">
        <w:rPr>
          <w:b/>
        </w:rPr>
        <w:t>wird</w:t>
      </w:r>
      <w:r>
        <w:rPr>
          <w:b/>
        </w:rPr>
        <w:t xml:space="preserve"> der Witterungsverlauf der nächsten Wochen</w:t>
      </w:r>
      <w:r w:rsidR="00C44CE7">
        <w:rPr>
          <w:b/>
        </w:rPr>
        <w:t xml:space="preserve"> zeigen. Insbesondere die Rotweine könnten qualitativ hervorragend werden</w:t>
      </w:r>
      <w:bookmarkStart w:id="0" w:name="_GoBack"/>
      <w:bookmarkEnd w:id="0"/>
      <w:r>
        <w:rPr>
          <w:b/>
        </w:rPr>
        <w:t>. Betriebswirtschaftlich liegen die strategischen Implikationen der Weinernten 2017 und 2018 aber schon jetzt auf der Hand:</w:t>
      </w:r>
      <w:r w:rsidR="00500E24">
        <w:rPr>
          <w:b/>
        </w:rPr>
        <w:t xml:space="preserve"> </w:t>
      </w:r>
      <w:r>
        <w:rPr>
          <w:b/>
        </w:rPr>
        <w:t xml:space="preserve"> </w:t>
      </w:r>
      <w:r w:rsidR="00500E24">
        <w:rPr>
          <w:b/>
        </w:rPr>
        <w:t>M</w:t>
      </w:r>
      <w:r>
        <w:rPr>
          <w:b/>
        </w:rPr>
        <w:t xml:space="preserve">ehr </w:t>
      </w:r>
      <w:r w:rsidR="00500E24">
        <w:rPr>
          <w:b/>
        </w:rPr>
        <w:t>z</w:t>
      </w:r>
      <w:r>
        <w:rPr>
          <w:b/>
        </w:rPr>
        <w:t>ocken! Oder eleganter ausgedrückt:</w:t>
      </w:r>
      <w:r w:rsidR="001751C0">
        <w:rPr>
          <w:b/>
        </w:rPr>
        <w:t xml:space="preserve"> </w:t>
      </w:r>
      <w:r>
        <w:rPr>
          <w:b/>
        </w:rPr>
        <w:t xml:space="preserve">Mehr </w:t>
      </w:r>
      <w:r w:rsidR="00927469">
        <w:rPr>
          <w:b/>
        </w:rPr>
        <w:t>strategisches Denken in Zeiten des Klimawandels</w:t>
      </w:r>
      <w:r>
        <w:rPr>
          <w:b/>
        </w:rPr>
        <w:t>!</w:t>
      </w:r>
    </w:p>
    <w:p w:rsidR="003D0896" w:rsidRPr="00B85E24" w:rsidRDefault="003D0896" w:rsidP="002969B1">
      <w:pPr>
        <w:spacing w:after="0" w:line="240" w:lineRule="auto"/>
        <w:rPr>
          <w:highlight w:val="yellow"/>
        </w:rPr>
      </w:pPr>
    </w:p>
    <w:p w:rsidR="00D91C38" w:rsidRDefault="00D91C38" w:rsidP="002969B1">
      <w:pPr>
        <w:spacing w:after="0" w:line="240" w:lineRule="auto"/>
      </w:pPr>
      <w:r>
        <w:t xml:space="preserve">Heute, am 14.08.18 (in Worten: </w:t>
      </w:r>
      <w:r w:rsidR="00DF4BB7">
        <w:t>a</w:t>
      </w:r>
      <w:r w:rsidR="00500E24">
        <w:t>m Vierzehnten</w:t>
      </w:r>
      <w:r w:rsidR="007146B6">
        <w:t>!</w:t>
      </w:r>
      <w:r>
        <w:t>)</w:t>
      </w:r>
      <w:r w:rsidR="00776512">
        <w:t xml:space="preserve"> beginnt an der Hochschule Geisenheim, Deutschlands bekanntester Lehranstalt für Weinbau, die Hauptweinlese. Noch nie wurde hier so früh mit der Ernte</w:t>
      </w:r>
      <w:r w:rsidR="00221E5A">
        <w:t xml:space="preserve"> von Qualitätswein </w:t>
      </w:r>
      <w:r w:rsidR="00776512">
        <w:t xml:space="preserve">begonnen. </w:t>
      </w:r>
    </w:p>
    <w:p w:rsidR="00D91C38" w:rsidRDefault="00D91C38" w:rsidP="002969B1">
      <w:pPr>
        <w:spacing w:after="0" w:line="240" w:lineRule="auto"/>
      </w:pPr>
    </w:p>
    <w:p w:rsidR="00B04A77" w:rsidRPr="00B85E24" w:rsidRDefault="00D91C38" w:rsidP="002969B1">
      <w:pPr>
        <w:spacing w:after="0" w:line="240" w:lineRule="auto"/>
      </w:pPr>
      <w:r>
        <w:t>„Ein Jahr im Weinberg, ein Jahr im Keller und ein Jahr auf der Flasche</w:t>
      </w:r>
      <w:r w:rsidR="00DF4BB7">
        <w:t>“, s</w:t>
      </w:r>
      <w:r>
        <w:t>o lautete eine alte Winzerweisheit. Damit waren aber keine betriebswirtschaftlichen Überlegungen gemeint, sondern früher sollte der Wein erst reifen, bevor er in den Verkauf kommt. Diese Zeiten sind lang</w:t>
      </w:r>
      <w:r w:rsidR="00776512">
        <w:t>e vorbei. Schon im November, vielleicht sogar Ende Oktober, wird es die ersten 2018er Weine im Handel geben. Direkt neben Spekulatius und Dominosteinen wird man frische, junge Weißweine</w:t>
      </w:r>
      <w:r w:rsidR="00776512" w:rsidRPr="00776512">
        <w:t xml:space="preserve"> </w:t>
      </w:r>
      <w:r w:rsidR="00776512">
        <w:t xml:space="preserve">aus Deutschland finden. Wie viel Genuss </w:t>
      </w:r>
      <w:r w:rsidR="00C44CE7">
        <w:t xml:space="preserve">diese </w:t>
      </w:r>
      <w:r w:rsidR="00927469">
        <w:t>versprechen</w:t>
      </w:r>
      <w:r w:rsidR="00776512">
        <w:t>, sei dahingestellt.</w:t>
      </w:r>
    </w:p>
    <w:p w:rsidR="003D0896" w:rsidRPr="00B85E24" w:rsidRDefault="003D0896" w:rsidP="002969B1">
      <w:pPr>
        <w:spacing w:after="0" w:line="240" w:lineRule="auto"/>
        <w:rPr>
          <w:highlight w:val="yellow"/>
        </w:rPr>
      </w:pPr>
    </w:p>
    <w:p w:rsidR="00316B69" w:rsidRPr="00B85E24" w:rsidRDefault="00776512" w:rsidP="002969B1">
      <w:pPr>
        <w:spacing w:after="0" w:line="240" w:lineRule="auto"/>
      </w:pPr>
      <w:r>
        <w:t xml:space="preserve">Die Winzer stehen aber unter Druck. </w:t>
      </w:r>
      <w:r w:rsidR="007146B6">
        <w:t>S</w:t>
      </w:r>
      <w:r>
        <w:t xml:space="preserve">chon die </w:t>
      </w:r>
      <w:r w:rsidR="00AD4DE4">
        <w:t xml:space="preserve">2017er Ernte </w:t>
      </w:r>
      <w:r w:rsidR="007146B6">
        <w:t xml:space="preserve">lag </w:t>
      </w:r>
      <w:r w:rsidR="00AD4DE4">
        <w:t>um -18%</w:t>
      </w:r>
      <w:r w:rsidR="000E7457">
        <w:t xml:space="preserve"> </w:t>
      </w:r>
      <w:r>
        <w:t>u</w:t>
      </w:r>
      <w:r w:rsidR="007146B6">
        <w:t>nter dem langjährigen Mittel. Durch den</w:t>
      </w:r>
      <w:r w:rsidR="007146B6">
        <w:t xml:space="preserve"> fehlenden Regen</w:t>
      </w:r>
      <w:r w:rsidR="007146B6">
        <w:t xml:space="preserve"> werden die Trauben jetzt immer </w:t>
      </w:r>
      <w:proofErr w:type="spellStart"/>
      <w:r w:rsidR="007146B6">
        <w:t>kleinbeeriger</w:t>
      </w:r>
      <w:proofErr w:type="spellEnd"/>
      <w:r w:rsidR="007146B6">
        <w:t>. Daher wird wohl</w:t>
      </w:r>
      <w:r>
        <w:t xml:space="preserve"> auch die 2018er Ernte quantitativ </w:t>
      </w:r>
      <w:r w:rsidR="0030658E">
        <w:t xml:space="preserve">eher </w:t>
      </w:r>
      <w:r>
        <w:t xml:space="preserve">unterdurchschnittlich. An der Mosel wäre dies </w:t>
      </w:r>
      <w:r w:rsidR="000E7457">
        <w:t xml:space="preserve">mengenmäßig </w:t>
      </w:r>
      <w:r>
        <w:t xml:space="preserve">sogar die </w:t>
      </w:r>
      <w:r w:rsidR="00500E24">
        <w:t>dritte</w:t>
      </w:r>
      <w:r>
        <w:t xml:space="preserve"> </w:t>
      </w:r>
      <w:r w:rsidR="00221E5A">
        <w:t>schlechte Ernte</w:t>
      </w:r>
      <w:r>
        <w:t xml:space="preserve"> </w:t>
      </w:r>
      <w:r w:rsidR="000E7457">
        <w:t xml:space="preserve">in Folge. </w:t>
      </w:r>
      <w:r w:rsidR="00AD4DE4">
        <w:t xml:space="preserve">Die </w:t>
      </w:r>
      <w:r w:rsidR="00927469">
        <w:t xml:space="preserve">jetzt </w:t>
      </w:r>
      <w:r w:rsidR="00AD4DE4">
        <w:t>schon steigenden Fassweinpreise helfen den Traubenerzeugern. Aber Winzer, die ihre Weine über die Flasche vermarkten, haben ein echtes kaufmännisches Problem. Die Erzeugungskosten sind dieselben oder sogar leicht gestiegen (z.B. Personal, Energie)</w:t>
      </w:r>
      <w:r w:rsidR="00C44CE7">
        <w:t xml:space="preserve">, </w:t>
      </w:r>
      <w:r w:rsidR="00AD4DE4">
        <w:t xml:space="preserve">aber </w:t>
      </w:r>
      <w:r w:rsidR="00927469">
        <w:t xml:space="preserve">schon </w:t>
      </w:r>
      <w:r w:rsidR="00AD4DE4">
        <w:t xml:space="preserve">die 2017er Weinpreise konnten </w:t>
      </w:r>
      <w:r w:rsidR="008518C3">
        <w:t xml:space="preserve">logischerweise </w:t>
      </w:r>
      <w:r w:rsidR="00AD4DE4">
        <w:t>nicht um +18% angehoben werden</w:t>
      </w:r>
      <w:r w:rsidR="00C44CE7">
        <w:t xml:space="preserve">. Und </w:t>
      </w:r>
      <w:r w:rsidR="00927469">
        <w:t>jetzt</w:t>
      </w:r>
      <w:r w:rsidR="00C44CE7">
        <w:t>?</w:t>
      </w:r>
    </w:p>
    <w:p w:rsidR="003D0896" w:rsidRPr="00B85E24" w:rsidRDefault="003D0896" w:rsidP="002969B1">
      <w:pPr>
        <w:spacing w:after="0" w:line="240" w:lineRule="auto"/>
      </w:pPr>
    </w:p>
    <w:p w:rsidR="00DD7A95" w:rsidRPr="00B85E24" w:rsidRDefault="00AD4DE4" w:rsidP="002969B1">
      <w:pPr>
        <w:spacing w:after="0" w:line="240" w:lineRule="auto"/>
      </w:pPr>
      <w:r>
        <w:t xml:space="preserve">Spätestens mit der 2018er Weinlese muss daher </w:t>
      </w:r>
      <w:r w:rsidR="00C44CE7">
        <w:t xml:space="preserve">ein Umdenken beginnen: Mehr </w:t>
      </w:r>
      <w:r w:rsidR="00500E24">
        <w:t>z</w:t>
      </w:r>
      <w:r w:rsidR="0030658E">
        <w:t>ocken und zuwarten.</w:t>
      </w:r>
      <w:r>
        <w:t xml:space="preserve"> Die </w:t>
      </w:r>
      <w:r w:rsidR="00927469">
        <w:t>Abverkäufe</w:t>
      </w:r>
      <w:r w:rsidR="00927469" w:rsidRPr="00927469">
        <w:t xml:space="preserve"> </w:t>
      </w:r>
      <w:r w:rsidR="00927469">
        <w:t>steigen</w:t>
      </w:r>
      <w:r>
        <w:t xml:space="preserve">, da dank Regionalität die Nachfrage </w:t>
      </w:r>
      <w:r w:rsidR="00927469">
        <w:t xml:space="preserve">boomt </w:t>
      </w:r>
      <w:r>
        <w:t xml:space="preserve">(z.B. ist Deutscher Wein seit Jahren in der Szenegastronomie „in“). In Kombination mit gestiegenen Fassweinpreisen sind daher viele Weinkeller leerverkauft. </w:t>
      </w:r>
      <w:r w:rsidR="00C44CE7">
        <w:t>Dieser Versuchung dürfen Weingüter i</w:t>
      </w:r>
      <w:r w:rsidR="00500E24">
        <w:t>m</w:t>
      </w:r>
      <w:r w:rsidR="00C44CE7">
        <w:t xml:space="preserve"> Zeichen des Klimawandels mit immer mehr Extremwetterlagen nicht mehr nachgeben. </w:t>
      </w:r>
    </w:p>
    <w:p w:rsidR="00DD7A95" w:rsidRPr="00B85E24" w:rsidRDefault="00DD7A95" w:rsidP="002969B1">
      <w:pPr>
        <w:spacing w:after="0" w:line="240" w:lineRule="auto"/>
        <w:rPr>
          <w:highlight w:val="yellow"/>
        </w:rPr>
      </w:pPr>
    </w:p>
    <w:p w:rsidR="00B85E24" w:rsidRPr="00F2295F" w:rsidRDefault="003D194A" w:rsidP="002969B1">
      <w:pPr>
        <w:spacing w:after="0" w:line="240" w:lineRule="auto"/>
      </w:pPr>
      <w:r>
        <w:t xml:space="preserve">Daher </w:t>
      </w:r>
      <w:r w:rsidR="00221E5A">
        <w:t xml:space="preserve">bitte </w:t>
      </w:r>
      <w:r w:rsidR="00927469">
        <w:t>mehr Strategie</w:t>
      </w:r>
      <w:r w:rsidR="00221E5A">
        <w:t>!</w:t>
      </w:r>
      <w:r>
        <w:t xml:space="preserve"> </w:t>
      </w:r>
      <w:r w:rsidR="00C44CE7">
        <w:t xml:space="preserve">Wie </w:t>
      </w:r>
      <w:r w:rsidR="00B473A2">
        <w:t>i</w:t>
      </w:r>
      <w:r w:rsidR="00C44CE7">
        <w:t>hre Vorfahren müssen Winzer einen Teil der Weinernte zurückhalten</w:t>
      </w:r>
      <w:r w:rsidR="00927469">
        <w:t xml:space="preserve">. Heute aber nicht mehr </w:t>
      </w:r>
      <w:r w:rsidR="00221E5A">
        <w:t>wegen</w:t>
      </w:r>
      <w:r w:rsidR="00927469">
        <w:t xml:space="preserve"> der Qualität, sondern als vorausdenkende Kaufleute</w:t>
      </w:r>
      <w:r w:rsidR="00C44CE7">
        <w:t xml:space="preserve">, damit sie einen Puffer </w:t>
      </w:r>
      <w:r>
        <w:t>bei</w:t>
      </w:r>
      <w:r w:rsidR="00C44CE7">
        <w:t xml:space="preserve"> Missernten haben. Umgekehrt bietet </w:t>
      </w:r>
      <w:r w:rsidR="00927469">
        <w:t xml:space="preserve">bei Großernten </w:t>
      </w:r>
      <w:r w:rsidR="00C44CE7">
        <w:t>die Erzeugung von Jahrgangssekten bzw. holzfassgereiften Rotweinen die Chance</w:t>
      </w:r>
      <w:r w:rsidR="00927469">
        <w:t xml:space="preserve">, diese </w:t>
      </w:r>
      <w:r w:rsidR="00221E5A">
        <w:t>elegant zu überbrücken</w:t>
      </w:r>
      <w:r w:rsidR="00C44CE7">
        <w:t>.</w:t>
      </w:r>
      <w:r w:rsidR="00221E5A">
        <w:t xml:space="preserve"> Dies erfordert zunächst zwar Investitionen in Kellerkapazitäten, macht sich aber schnell bezahlt. So wird man vom Getriebenen wieder zum strategischen Lenker.</w:t>
      </w:r>
    </w:p>
    <w:p w:rsidR="00B85E24" w:rsidRPr="007146B6" w:rsidRDefault="00B85E24" w:rsidP="002969B1">
      <w:pPr>
        <w:spacing w:after="0" w:line="240" w:lineRule="auto"/>
        <w:rPr>
          <w:highlight w:val="yellow"/>
        </w:rPr>
      </w:pPr>
    </w:p>
    <w:p w:rsidR="00C103E0" w:rsidRPr="00B85E24" w:rsidRDefault="00B04A77" w:rsidP="002969B1">
      <w:pPr>
        <w:spacing w:after="0" w:line="240" w:lineRule="auto"/>
        <w:rPr>
          <w:b/>
        </w:rPr>
      </w:pPr>
      <w:r w:rsidRPr="00F2295F">
        <w:rPr>
          <w:bCs/>
          <w:i/>
        </w:rPr>
        <w:t>Die weinräte</w:t>
      </w:r>
      <w:r w:rsidRPr="00F2295F">
        <w:rPr>
          <w:bCs/>
        </w:rPr>
        <w:t xml:space="preserve"> sind Deutschlands führende Beratung, die alle Aspekte der Weinbranche abdeckt. Neben der klassischen Unternehmensnachfolge, Beteiligungen &amp; Anlageobjekten, wird das große Feld der operativen und strategischen Beratung von Weingütern abgedeckt.</w:t>
      </w:r>
    </w:p>
    <w:sectPr w:rsidR="00C103E0" w:rsidRPr="00B85E24" w:rsidSect="0047226D">
      <w:headerReference w:type="default" r:id="rId8"/>
      <w:footerReference w:type="default" r:id="rId9"/>
      <w:headerReference w:type="first" r:id="rId10"/>
      <w:footerReference w:type="first" r:id="rId11"/>
      <w:pgSz w:w="11906" w:h="16838"/>
      <w:pgMar w:top="1701"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B0" w:rsidRDefault="000668B0" w:rsidP="005062A3">
      <w:pPr>
        <w:spacing w:after="0" w:line="240" w:lineRule="auto"/>
      </w:pPr>
      <w:r>
        <w:separator/>
      </w:r>
    </w:p>
  </w:endnote>
  <w:endnote w:type="continuationSeparator" w:id="0">
    <w:p w:rsidR="000668B0" w:rsidRDefault="000668B0" w:rsidP="0050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99417001"/>
      <w:docPartObj>
        <w:docPartGallery w:val="Page Numbers (Bottom of Page)"/>
        <w:docPartUnique/>
      </w:docPartObj>
    </w:sdtPr>
    <w:sdtEndPr/>
    <w:sdtContent>
      <w:p w:rsidR="005062A3" w:rsidRPr="008D56C4" w:rsidRDefault="00160CB4" w:rsidP="00160CB4">
        <w:pPr>
          <w:pStyle w:val="Fuzeile"/>
          <w:jc w:val="center"/>
          <w:rPr>
            <w:sz w:val="16"/>
            <w:szCs w:val="16"/>
          </w:rPr>
        </w:pPr>
        <w:r w:rsidRPr="008D56C4">
          <w:rPr>
            <w:sz w:val="16"/>
            <w:szCs w:val="16"/>
          </w:rPr>
          <w:t xml:space="preserve">Seite </w:t>
        </w:r>
        <w:r w:rsidRPr="008D56C4">
          <w:rPr>
            <w:sz w:val="16"/>
            <w:szCs w:val="16"/>
          </w:rPr>
          <w:fldChar w:fldCharType="begin"/>
        </w:r>
        <w:r w:rsidRPr="008D56C4">
          <w:rPr>
            <w:sz w:val="16"/>
            <w:szCs w:val="16"/>
          </w:rPr>
          <w:instrText>PAGE   \* MERGEFORMAT</w:instrText>
        </w:r>
        <w:r w:rsidRPr="008D56C4">
          <w:rPr>
            <w:sz w:val="16"/>
            <w:szCs w:val="16"/>
          </w:rPr>
          <w:fldChar w:fldCharType="separate"/>
        </w:r>
        <w:r w:rsidR="007146B6">
          <w:rPr>
            <w:noProof/>
            <w:sz w:val="16"/>
            <w:szCs w:val="16"/>
          </w:rPr>
          <w:t>2</w:t>
        </w:r>
        <w:r w:rsidRPr="008D56C4">
          <w:rPr>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B4" w:rsidRPr="008D56C4" w:rsidRDefault="00A60A67" w:rsidP="00160CB4">
    <w:pPr>
      <w:pStyle w:val="Fuzeile"/>
      <w:tabs>
        <w:tab w:val="clear" w:pos="9072"/>
      </w:tabs>
      <w:jc w:val="center"/>
      <w:rPr>
        <w:color w:val="404040" w:themeColor="text1" w:themeTint="BF"/>
        <w:sz w:val="15"/>
        <w:szCs w:val="15"/>
      </w:rPr>
    </w:pPr>
    <w:r w:rsidRPr="008D56C4">
      <w:rPr>
        <w:color w:val="404040" w:themeColor="text1" w:themeTint="BF"/>
        <w:sz w:val="15"/>
        <w:szCs w:val="15"/>
      </w:rPr>
      <w:t xml:space="preserve">die weinräte </w:t>
    </w:r>
    <w:proofErr w:type="spellStart"/>
    <w:r w:rsidRPr="008D56C4">
      <w:rPr>
        <w:color w:val="404040" w:themeColor="text1" w:themeTint="BF"/>
        <w:sz w:val="15"/>
        <w:szCs w:val="15"/>
      </w:rPr>
      <w:t>by</w:t>
    </w:r>
    <w:proofErr w:type="spellEnd"/>
    <w:r w:rsidRPr="008D56C4">
      <w:rPr>
        <w:color w:val="404040" w:themeColor="text1" w:themeTint="BF"/>
        <w:sz w:val="15"/>
        <w:szCs w:val="15"/>
      </w:rPr>
      <w:t xml:space="preserve"> </w:t>
    </w:r>
    <w:r w:rsidR="00160CB4" w:rsidRPr="008D56C4">
      <w:rPr>
        <w:color w:val="404040" w:themeColor="text1" w:themeTint="BF"/>
        <w:sz w:val="15"/>
        <w:szCs w:val="15"/>
      </w:rPr>
      <w:t xml:space="preserve">Wein &amp; Rat </w:t>
    </w:r>
    <w:proofErr w:type="gramStart"/>
    <w:r w:rsidR="00160CB4" w:rsidRPr="008D56C4">
      <w:rPr>
        <w:color w:val="404040" w:themeColor="text1" w:themeTint="BF"/>
        <w:sz w:val="15"/>
        <w:szCs w:val="15"/>
      </w:rPr>
      <w:t>GmbH  |</w:t>
    </w:r>
    <w:proofErr w:type="gramEnd"/>
    <w:r w:rsidR="00160CB4" w:rsidRPr="008D56C4">
      <w:rPr>
        <w:color w:val="404040" w:themeColor="text1" w:themeTint="BF"/>
        <w:sz w:val="15"/>
        <w:szCs w:val="15"/>
      </w:rPr>
      <w:t xml:space="preserve">  Winkeler Str. 100a  |  D-65366 Geisenheim</w:t>
    </w:r>
  </w:p>
  <w:p w:rsidR="00160CB4" w:rsidRPr="008D56C4" w:rsidRDefault="00160CB4" w:rsidP="00160CB4">
    <w:pPr>
      <w:pStyle w:val="Fuzeile"/>
      <w:tabs>
        <w:tab w:val="clear" w:pos="9072"/>
      </w:tabs>
      <w:jc w:val="center"/>
      <w:rPr>
        <w:color w:val="404040" w:themeColor="text1" w:themeTint="BF"/>
        <w:sz w:val="15"/>
        <w:szCs w:val="15"/>
      </w:rPr>
    </w:pPr>
    <w:r w:rsidRPr="008D56C4">
      <w:rPr>
        <w:color w:val="404040" w:themeColor="text1" w:themeTint="BF"/>
        <w:sz w:val="15"/>
        <w:szCs w:val="15"/>
      </w:rPr>
      <w:t xml:space="preserve">Tel. +49 (0)6722-90 85 </w:t>
    </w:r>
    <w:proofErr w:type="gramStart"/>
    <w:r w:rsidRPr="008D56C4">
      <w:rPr>
        <w:color w:val="404040" w:themeColor="text1" w:themeTint="BF"/>
        <w:sz w:val="15"/>
        <w:szCs w:val="15"/>
      </w:rPr>
      <w:t>121  |</w:t>
    </w:r>
    <w:proofErr w:type="gramEnd"/>
    <w:r w:rsidRPr="008D56C4">
      <w:rPr>
        <w:color w:val="404040" w:themeColor="text1" w:themeTint="BF"/>
        <w:sz w:val="15"/>
        <w:szCs w:val="15"/>
      </w:rPr>
      <w:t xml:space="preserve">  Fax +49 (0)6722-90 85 123  |  info@dieweinraete.de  |  www.dieweinraete.de</w:t>
    </w:r>
  </w:p>
  <w:p w:rsidR="00160CB4" w:rsidRPr="008D56C4" w:rsidRDefault="00160CB4" w:rsidP="00160CB4">
    <w:pPr>
      <w:pStyle w:val="Fuzeile"/>
      <w:tabs>
        <w:tab w:val="clear" w:pos="9072"/>
      </w:tabs>
      <w:jc w:val="center"/>
      <w:rPr>
        <w:color w:val="404040" w:themeColor="text1" w:themeTint="BF"/>
        <w:sz w:val="15"/>
        <w:szCs w:val="15"/>
      </w:rPr>
    </w:pPr>
    <w:r w:rsidRPr="008D56C4">
      <w:rPr>
        <w:color w:val="404040" w:themeColor="text1" w:themeTint="BF"/>
        <w:sz w:val="15"/>
        <w:szCs w:val="15"/>
      </w:rPr>
      <w:t xml:space="preserve">Geschäftsführer: Natascha Popp, Erhard Georg </w:t>
    </w:r>
    <w:proofErr w:type="gramStart"/>
    <w:r w:rsidRPr="008D56C4">
      <w:rPr>
        <w:color w:val="404040" w:themeColor="text1" w:themeTint="BF"/>
        <w:sz w:val="15"/>
        <w:szCs w:val="15"/>
      </w:rPr>
      <w:t>Heitlinger  |</w:t>
    </w:r>
    <w:proofErr w:type="gramEnd"/>
    <w:r w:rsidRPr="008D56C4">
      <w:rPr>
        <w:color w:val="404040" w:themeColor="text1" w:themeTint="BF"/>
        <w:sz w:val="15"/>
        <w:szCs w:val="15"/>
      </w:rPr>
      <w:t xml:space="preserve">  Amtsgericht Wiesbaden HRB28139  |  Sitz der Gesellschaft: Geisenheim</w:t>
    </w:r>
  </w:p>
  <w:p w:rsidR="00160CB4" w:rsidRPr="008D56C4" w:rsidRDefault="00160CB4" w:rsidP="00160CB4">
    <w:pPr>
      <w:pStyle w:val="Fuzeile"/>
      <w:tabs>
        <w:tab w:val="clear" w:pos="9072"/>
      </w:tabs>
      <w:jc w:val="center"/>
      <w:rPr>
        <w:color w:val="404040" w:themeColor="text1" w:themeTint="BF"/>
        <w:sz w:val="15"/>
        <w:szCs w:val="15"/>
      </w:rPr>
    </w:pPr>
    <w:r w:rsidRPr="008D56C4">
      <w:rPr>
        <w:color w:val="404040" w:themeColor="text1" w:themeTint="BF"/>
        <w:sz w:val="15"/>
        <w:szCs w:val="15"/>
      </w:rPr>
      <w:t>USt.-Id-Nr. DE</w:t>
    </w:r>
    <w:proofErr w:type="gramStart"/>
    <w:r w:rsidRPr="008D56C4">
      <w:rPr>
        <w:color w:val="404040" w:themeColor="text1" w:themeTint="BF"/>
        <w:sz w:val="15"/>
        <w:szCs w:val="15"/>
      </w:rPr>
      <w:t>298299296  |</w:t>
    </w:r>
    <w:proofErr w:type="gramEnd"/>
    <w:r w:rsidRPr="008D56C4">
      <w:rPr>
        <w:color w:val="404040" w:themeColor="text1" w:themeTint="BF"/>
        <w:sz w:val="15"/>
        <w:szCs w:val="15"/>
      </w:rPr>
      <w:t xml:space="preserve">  Rheingauer Volksbank: IBAN DE94 5109 1500 0001 5005 89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B0" w:rsidRDefault="000668B0" w:rsidP="005062A3">
      <w:pPr>
        <w:spacing w:after="0" w:line="240" w:lineRule="auto"/>
      </w:pPr>
      <w:r>
        <w:separator/>
      </w:r>
    </w:p>
  </w:footnote>
  <w:footnote w:type="continuationSeparator" w:id="0">
    <w:p w:rsidR="000668B0" w:rsidRDefault="000668B0" w:rsidP="00506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33" w:rsidRDefault="00930333" w:rsidP="00930333">
    <w:pPr>
      <w:pStyle w:val="Kopfzeile"/>
      <w:jc w:val="center"/>
    </w:pPr>
    <w:r>
      <w:rPr>
        <w:noProof/>
        <w:lang w:eastAsia="de-DE"/>
      </w:rPr>
      <w:drawing>
        <wp:inline distT="0" distB="0" distL="0" distR="0">
          <wp:extent cx="1563882" cy="9296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556" cy="10126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B4" w:rsidRPr="00160CB4" w:rsidRDefault="00105308" w:rsidP="0047226D">
    <w:pPr>
      <w:pStyle w:val="Kopfzeile"/>
      <w:tabs>
        <w:tab w:val="clear" w:pos="4536"/>
        <w:tab w:val="clear" w:pos="9072"/>
        <w:tab w:val="center" w:pos="4678"/>
      </w:tabs>
      <w:jc w:val="center"/>
    </w:pPr>
    <w:r>
      <w:rPr>
        <w:noProof/>
        <w:lang w:eastAsia="de-DE"/>
      </w:rPr>
      <w:drawing>
        <wp:anchor distT="0" distB="0" distL="114300" distR="114300" simplePos="0" relativeHeight="251658240" behindDoc="0" locked="0" layoutInCell="1" allowOverlap="1" wp14:anchorId="71662774" wp14:editId="77048792">
          <wp:simplePos x="0" y="0"/>
          <wp:positionH relativeFrom="column">
            <wp:posOffset>2178050</wp:posOffset>
          </wp:positionH>
          <wp:positionV relativeFrom="paragraph">
            <wp:posOffset>-298824</wp:posOffset>
          </wp:positionV>
          <wp:extent cx="1563370" cy="929640"/>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337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EE1"/>
    <w:multiLevelType w:val="hybridMultilevel"/>
    <w:tmpl w:val="1902B74C"/>
    <w:lvl w:ilvl="0" w:tplc="04070005">
      <w:start w:val="1"/>
      <w:numFmt w:val="bullet"/>
      <w:lvlText w:val=""/>
      <w:lvlJc w:val="left"/>
      <w:pPr>
        <w:tabs>
          <w:tab w:val="num" w:pos="1741"/>
        </w:tabs>
        <w:ind w:left="1741" w:hanging="360"/>
      </w:pPr>
      <w:rPr>
        <w:rFonts w:ascii="Wingdings" w:hAnsi="Wingdings" w:hint="default"/>
      </w:rPr>
    </w:lvl>
    <w:lvl w:ilvl="1" w:tplc="04070003" w:tentative="1">
      <w:start w:val="1"/>
      <w:numFmt w:val="bullet"/>
      <w:lvlText w:val="o"/>
      <w:lvlJc w:val="left"/>
      <w:pPr>
        <w:tabs>
          <w:tab w:val="num" w:pos="2461"/>
        </w:tabs>
        <w:ind w:left="2461" w:hanging="360"/>
      </w:pPr>
      <w:rPr>
        <w:rFonts w:ascii="Courier New" w:hAnsi="Courier New" w:cs="Courier New" w:hint="default"/>
      </w:rPr>
    </w:lvl>
    <w:lvl w:ilvl="2" w:tplc="04070005" w:tentative="1">
      <w:start w:val="1"/>
      <w:numFmt w:val="bullet"/>
      <w:lvlText w:val=""/>
      <w:lvlJc w:val="left"/>
      <w:pPr>
        <w:tabs>
          <w:tab w:val="num" w:pos="3181"/>
        </w:tabs>
        <w:ind w:left="3181" w:hanging="360"/>
      </w:pPr>
      <w:rPr>
        <w:rFonts w:ascii="Wingdings" w:hAnsi="Wingdings" w:hint="default"/>
      </w:rPr>
    </w:lvl>
    <w:lvl w:ilvl="3" w:tplc="04070001" w:tentative="1">
      <w:start w:val="1"/>
      <w:numFmt w:val="bullet"/>
      <w:lvlText w:val=""/>
      <w:lvlJc w:val="left"/>
      <w:pPr>
        <w:tabs>
          <w:tab w:val="num" w:pos="3901"/>
        </w:tabs>
        <w:ind w:left="3901" w:hanging="360"/>
      </w:pPr>
      <w:rPr>
        <w:rFonts w:ascii="Symbol" w:hAnsi="Symbol" w:hint="default"/>
      </w:rPr>
    </w:lvl>
    <w:lvl w:ilvl="4" w:tplc="04070003" w:tentative="1">
      <w:start w:val="1"/>
      <w:numFmt w:val="bullet"/>
      <w:lvlText w:val="o"/>
      <w:lvlJc w:val="left"/>
      <w:pPr>
        <w:tabs>
          <w:tab w:val="num" w:pos="4621"/>
        </w:tabs>
        <w:ind w:left="4621" w:hanging="360"/>
      </w:pPr>
      <w:rPr>
        <w:rFonts w:ascii="Courier New" w:hAnsi="Courier New" w:cs="Courier New" w:hint="default"/>
      </w:rPr>
    </w:lvl>
    <w:lvl w:ilvl="5" w:tplc="04070005" w:tentative="1">
      <w:start w:val="1"/>
      <w:numFmt w:val="bullet"/>
      <w:lvlText w:val=""/>
      <w:lvlJc w:val="left"/>
      <w:pPr>
        <w:tabs>
          <w:tab w:val="num" w:pos="5341"/>
        </w:tabs>
        <w:ind w:left="5341" w:hanging="360"/>
      </w:pPr>
      <w:rPr>
        <w:rFonts w:ascii="Wingdings" w:hAnsi="Wingdings" w:hint="default"/>
      </w:rPr>
    </w:lvl>
    <w:lvl w:ilvl="6" w:tplc="04070001" w:tentative="1">
      <w:start w:val="1"/>
      <w:numFmt w:val="bullet"/>
      <w:lvlText w:val=""/>
      <w:lvlJc w:val="left"/>
      <w:pPr>
        <w:tabs>
          <w:tab w:val="num" w:pos="6061"/>
        </w:tabs>
        <w:ind w:left="6061" w:hanging="360"/>
      </w:pPr>
      <w:rPr>
        <w:rFonts w:ascii="Symbol" w:hAnsi="Symbol" w:hint="default"/>
      </w:rPr>
    </w:lvl>
    <w:lvl w:ilvl="7" w:tplc="04070003" w:tentative="1">
      <w:start w:val="1"/>
      <w:numFmt w:val="bullet"/>
      <w:lvlText w:val="o"/>
      <w:lvlJc w:val="left"/>
      <w:pPr>
        <w:tabs>
          <w:tab w:val="num" w:pos="6781"/>
        </w:tabs>
        <w:ind w:left="6781" w:hanging="360"/>
      </w:pPr>
      <w:rPr>
        <w:rFonts w:ascii="Courier New" w:hAnsi="Courier New" w:cs="Courier New" w:hint="default"/>
      </w:rPr>
    </w:lvl>
    <w:lvl w:ilvl="8" w:tplc="04070005" w:tentative="1">
      <w:start w:val="1"/>
      <w:numFmt w:val="bullet"/>
      <w:lvlText w:val=""/>
      <w:lvlJc w:val="left"/>
      <w:pPr>
        <w:tabs>
          <w:tab w:val="num" w:pos="7501"/>
        </w:tabs>
        <w:ind w:left="7501" w:hanging="360"/>
      </w:pPr>
      <w:rPr>
        <w:rFonts w:ascii="Wingdings" w:hAnsi="Wingdings" w:hint="default"/>
      </w:rPr>
    </w:lvl>
  </w:abstractNum>
  <w:abstractNum w:abstractNumId="1" w15:restartNumberingAfterBreak="0">
    <w:nsid w:val="239010B2"/>
    <w:multiLevelType w:val="hybridMultilevel"/>
    <w:tmpl w:val="82CC589A"/>
    <w:lvl w:ilvl="0" w:tplc="04070001">
      <w:start w:val="1"/>
      <w:numFmt w:val="bullet"/>
      <w:lvlText w:val=""/>
      <w:lvlJc w:val="left"/>
      <w:pPr>
        <w:tabs>
          <w:tab w:val="num" w:pos="1381"/>
        </w:tabs>
        <w:ind w:left="1381" w:hanging="360"/>
      </w:pPr>
      <w:rPr>
        <w:rFonts w:ascii="Symbol" w:hAnsi="Symbol"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2" w15:restartNumberingAfterBreak="0">
    <w:nsid w:val="265A11D9"/>
    <w:multiLevelType w:val="hybridMultilevel"/>
    <w:tmpl w:val="C4BCE5B8"/>
    <w:lvl w:ilvl="0" w:tplc="3FF4FF7C">
      <w:start w:val="1"/>
      <w:numFmt w:val="bullet"/>
      <w:lvlText w:val="-"/>
      <w:lvlJc w:val="left"/>
      <w:pPr>
        <w:ind w:left="1171" w:hanging="360"/>
      </w:pPr>
      <w:rPr>
        <w:rFonts w:ascii="Times New Roman" w:eastAsia="Times New Roman" w:hAnsi="Times New Roman" w:cs="Times New Roman"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3" w15:restartNumberingAfterBreak="0">
    <w:nsid w:val="44F1151E"/>
    <w:multiLevelType w:val="hybridMultilevel"/>
    <w:tmpl w:val="C91024C0"/>
    <w:lvl w:ilvl="0" w:tplc="04070015">
      <w:start w:val="1"/>
      <w:numFmt w:val="decimal"/>
      <w:lvlText w:val="(%1)"/>
      <w:lvlJc w:val="left"/>
      <w:pPr>
        <w:ind w:left="1171" w:hanging="360"/>
      </w:pPr>
      <w:rPr>
        <w:rFonts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4" w15:restartNumberingAfterBreak="0">
    <w:nsid w:val="64015721"/>
    <w:multiLevelType w:val="hybridMultilevel"/>
    <w:tmpl w:val="CBA641DE"/>
    <w:lvl w:ilvl="0" w:tplc="04070011">
      <w:start w:val="1"/>
      <w:numFmt w:val="decimal"/>
      <w:lvlText w:val="%1)"/>
      <w:lvlJc w:val="left"/>
      <w:pPr>
        <w:tabs>
          <w:tab w:val="num" w:pos="1381"/>
        </w:tabs>
        <w:ind w:left="1381" w:hanging="360"/>
      </w:pPr>
      <w:rPr>
        <w:rFonts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5" w15:restartNumberingAfterBreak="0">
    <w:nsid w:val="653A2B04"/>
    <w:multiLevelType w:val="multilevel"/>
    <w:tmpl w:val="52DADE3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01"/>
        </w:tabs>
        <w:ind w:left="170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C083AC4"/>
    <w:multiLevelType w:val="hybridMultilevel"/>
    <w:tmpl w:val="694E7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A3"/>
    <w:rsid w:val="00013C1A"/>
    <w:rsid w:val="000373C5"/>
    <w:rsid w:val="00040B8E"/>
    <w:rsid w:val="00045FD0"/>
    <w:rsid w:val="00053C02"/>
    <w:rsid w:val="000542C9"/>
    <w:rsid w:val="000668B0"/>
    <w:rsid w:val="00083203"/>
    <w:rsid w:val="000A1CA8"/>
    <w:rsid w:val="000B0078"/>
    <w:rsid w:val="000B2DFD"/>
    <w:rsid w:val="000C7BFA"/>
    <w:rsid w:val="000E7457"/>
    <w:rsid w:val="000E7DD6"/>
    <w:rsid w:val="000F6FBE"/>
    <w:rsid w:val="00105308"/>
    <w:rsid w:val="0014109C"/>
    <w:rsid w:val="00160CB4"/>
    <w:rsid w:val="001751C0"/>
    <w:rsid w:val="00180AB9"/>
    <w:rsid w:val="0018482D"/>
    <w:rsid w:val="00194FEE"/>
    <w:rsid w:val="00196ADD"/>
    <w:rsid w:val="001A15DA"/>
    <w:rsid w:val="001C7555"/>
    <w:rsid w:val="001D52F1"/>
    <w:rsid w:val="001F6AA4"/>
    <w:rsid w:val="00221E5A"/>
    <w:rsid w:val="0022304C"/>
    <w:rsid w:val="002465CB"/>
    <w:rsid w:val="002636CF"/>
    <w:rsid w:val="0027074D"/>
    <w:rsid w:val="0029480C"/>
    <w:rsid w:val="002969B1"/>
    <w:rsid w:val="002B0E05"/>
    <w:rsid w:val="002C147C"/>
    <w:rsid w:val="002D50A6"/>
    <w:rsid w:val="002E6DB3"/>
    <w:rsid w:val="002F6578"/>
    <w:rsid w:val="002F7BD9"/>
    <w:rsid w:val="0030658E"/>
    <w:rsid w:val="003103F5"/>
    <w:rsid w:val="00314D95"/>
    <w:rsid w:val="00316B69"/>
    <w:rsid w:val="00317052"/>
    <w:rsid w:val="0031721D"/>
    <w:rsid w:val="00321BF8"/>
    <w:rsid w:val="00333E4D"/>
    <w:rsid w:val="00346842"/>
    <w:rsid w:val="0035706F"/>
    <w:rsid w:val="0038393C"/>
    <w:rsid w:val="003916C4"/>
    <w:rsid w:val="00393935"/>
    <w:rsid w:val="003D0896"/>
    <w:rsid w:val="003D194A"/>
    <w:rsid w:val="003D2C2E"/>
    <w:rsid w:val="003D57F3"/>
    <w:rsid w:val="003E34BC"/>
    <w:rsid w:val="004432AD"/>
    <w:rsid w:val="0044556F"/>
    <w:rsid w:val="004468F3"/>
    <w:rsid w:val="0045436F"/>
    <w:rsid w:val="0047226D"/>
    <w:rsid w:val="004F462A"/>
    <w:rsid w:val="004F6253"/>
    <w:rsid w:val="00500E24"/>
    <w:rsid w:val="00500EA0"/>
    <w:rsid w:val="005017A6"/>
    <w:rsid w:val="005062A3"/>
    <w:rsid w:val="005118EB"/>
    <w:rsid w:val="005150A6"/>
    <w:rsid w:val="005754D7"/>
    <w:rsid w:val="005A60C0"/>
    <w:rsid w:val="005A7CF4"/>
    <w:rsid w:val="005B2284"/>
    <w:rsid w:val="005B36B2"/>
    <w:rsid w:val="005D179B"/>
    <w:rsid w:val="005D1E1C"/>
    <w:rsid w:val="00627C11"/>
    <w:rsid w:val="00652003"/>
    <w:rsid w:val="00657421"/>
    <w:rsid w:val="006604BB"/>
    <w:rsid w:val="00671537"/>
    <w:rsid w:val="00684599"/>
    <w:rsid w:val="00691538"/>
    <w:rsid w:val="00693305"/>
    <w:rsid w:val="006D294D"/>
    <w:rsid w:val="006F1BC8"/>
    <w:rsid w:val="007061FE"/>
    <w:rsid w:val="007146B6"/>
    <w:rsid w:val="0072196F"/>
    <w:rsid w:val="00722564"/>
    <w:rsid w:val="0076475D"/>
    <w:rsid w:val="00776512"/>
    <w:rsid w:val="00783C02"/>
    <w:rsid w:val="007B73F1"/>
    <w:rsid w:val="007C6F30"/>
    <w:rsid w:val="007E0ACF"/>
    <w:rsid w:val="007E512D"/>
    <w:rsid w:val="00822C88"/>
    <w:rsid w:val="008518C3"/>
    <w:rsid w:val="0085297C"/>
    <w:rsid w:val="00882D59"/>
    <w:rsid w:val="0089018D"/>
    <w:rsid w:val="00892563"/>
    <w:rsid w:val="0089404D"/>
    <w:rsid w:val="008950F3"/>
    <w:rsid w:val="008B1E38"/>
    <w:rsid w:val="008D56C4"/>
    <w:rsid w:val="008E21D9"/>
    <w:rsid w:val="0091777F"/>
    <w:rsid w:val="00922FDC"/>
    <w:rsid w:val="00927469"/>
    <w:rsid w:val="00927FAE"/>
    <w:rsid w:val="00930333"/>
    <w:rsid w:val="00935FA2"/>
    <w:rsid w:val="00942837"/>
    <w:rsid w:val="00947884"/>
    <w:rsid w:val="0098074A"/>
    <w:rsid w:val="00980BAB"/>
    <w:rsid w:val="00996DD5"/>
    <w:rsid w:val="009A778D"/>
    <w:rsid w:val="009B38A7"/>
    <w:rsid w:val="009E38AF"/>
    <w:rsid w:val="00A10DE0"/>
    <w:rsid w:val="00A234F6"/>
    <w:rsid w:val="00A52B5D"/>
    <w:rsid w:val="00A60A67"/>
    <w:rsid w:val="00A915A7"/>
    <w:rsid w:val="00A9182E"/>
    <w:rsid w:val="00AD4DE4"/>
    <w:rsid w:val="00AE2FE0"/>
    <w:rsid w:val="00AF46C6"/>
    <w:rsid w:val="00AF5DE6"/>
    <w:rsid w:val="00B04A77"/>
    <w:rsid w:val="00B3138D"/>
    <w:rsid w:val="00B46BEE"/>
    <w:rsid w:val="00B473A2"/>
    <w:rsid w:val="00B56151"/>
    <w:rsid w:val="00B84849"/>
    <w:rsid w:val="00B85E24"/>
    <w:rsid w:val="00BD74EF"/>
    <w:rsid w:val="00BE61A3"/>
    <w:rsid w:val="00C103E0"/>
    <w:rsid w:val="00C16A72"/>
    <w:rsid w:val="00C16DA4"/>
    <w:rsid w:val="00C245D2"/>
    <w:rsid w:val="00C33DBB"/>
    <w:rsid w:val="00C44CE7"/>
    <w:rsid w:val="00C60CB0"/>
    <w:rsid w:val="00C80B7C"/>
    <w:rsid w:val="00C95B3D"/>
    <w:rsid w:val="00CA64F6"/>
    <w:rsid w:val="00D11AD1"/>
    <w:rsid w:val="00D15634"/>
    <w:rsid w:val="00D2173C"/>
    <w:rsid w:val="00D246BF"/>
    <w:rsid w:val="00D41A54"/>
    <w:rsid w:val="00D53C7E"/>
    <w:rsid w:val="00D82725"/>
    <w:rsid w:val="00D91C38"/>
    <w:rsid w:val="00DA04D8"/>
    <w:rsid w:val="00DA2EDE"/>
    <w:rsid w:val="00DB736A"/>
    <w:rsid w:val="00DD7A95"/>
    <w:rsid w:val="00DF4BB7"/>
    <w:rsid w:val="00E176E4"/>
    <w:rsid w:val="00E25244"/>
    <w:rsid w:val="00E2541C"/>
    <w:rsid w:val="00E54FC5"/>
    <w:rsid w:val="00E86507"/>
    <w:rsid w:val="00E87581"/>
    <w:rsid w:val="00E87A96"/>
    <w:rsid w:val="00EA0216"/>
    <w:rsid w:val="00ED3A1C"/>
    <w:rsid w:val="00EE1196"/>
    <w:rsid w:val="00EF0449"/>
    <w:rsid w:val="00F21B88"/>
    <w:rsid w:val="00F2295F"/>
    <w:rsid w:val="00F7497B"/>
    <w:rsid w:val="00FB23A7"/>
    <w:rsid w:val="00FB622B"/>
    <w:rsid w:val="00FF4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7D233"/>
  <w15:chartTrackingRefBased/>
  <w15:docId w15:val="{666F2ACE-43C0-4D41-B9FF-16B18B5A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62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62A3"/>
  </w:style>
  <w:style w:type="paragraph" w:styleId="Fuzeile">
    <w:name w:val="footer"/>
    <w:basedOn w:val="Standard"/>
    <w:link w:val="FuzeileZchn"/>
    <w:unhideWhenUsed/>
    <w:rsid w:val="005062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62A3"/>
  </w:style>
  <w:style w:type="paragraph" w:styleId="Sprechblasentext">
    <w:name w:val="Balloon Text"/>
    <w:basedOn w:val="Standard"/>
    <w:link w:val="SprechblasentextZchn"/>
    <w:uiPriority w:val="99"/>
    <w:semiHidden/>
    <w:unhideWhenUsed/>
    <w:rsid w:val="00980B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BAB"/>
    <w:rPr>
      <w:rFonts w:ascii="Segoe UI" w:hAnsi="Segoe UI" w:cs="Segoe UI"/>
      <w:sz w:val="18"/>
      <w:szCs w:val="18"/>
    </w:rPr>
  </w:style>
  <w:style w:type="character" w:styleId="Hyperlink">
    <w:name w:val="Hyperlink"/>
    <w:basedOn w:val="Absatz-Standardschriftart"/>
    <w:uiPriority w:val="99"/>
    <w:unhideWhenUsed/>
    <w:rsid w:val="00160CB4"/>
    <w:rPr>
      <w:color w:val="0563C1" w:themeColor="hyperlink"/>
      <w:u w:val="single"/>
    </w:rPr>
  </w:style>
  <w:style w:type="paragraph" w:styleId="Listenabsatz">
    <w:name w:val="List Paragraph"/>
    <w:basedOn w:val="Standard"/>
    <w:uiPriority w:val="34"/>
    <w:qFormat/>
    <w:rsid w:val="005017A6"/>
    <w:pPr>
      <w:spacing w:after="0" w:line="240" w:lineRule="auto"/>
      <w:ind w:left="720"/>
      <w:contextualSpacing/>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180A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80AB9"/>
    <w:rPr>
      <w:sz w:val="20"/>
      <w:szCs w:val="20"/>
    </w:rPr>
  </w:style>
  <w:style w:type="character" w:styleId="Funotenzeichen">
    <w:name w:val="footnote reference"/>
    <w:basedOn w:val="Absatz-Standardschriftart"/>
    <w:uiPriority w:val="99"/>
    <w:semiHidden/>
    <w:unhideWhenUsed/>
    <w:rsid w:val="00180AB9"/>
    <w:rPr>
      <w:vertAlign w:val="superscript"/>
    </w:rPr>
  </w:style>
  <w:style w:type="character" w:styleId="BesuchterLink">
    <w:name w:val="FollowedHyperlink"/>
    <w:basedOn w:val="Absatz-Standardschriftart"/>
    <w:uiPriority w:val="99"/>
    <w:semiHidden/>
    <w:unhideWhenUsed/>
    <w:rsid w:val="009A7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E444-C7A7-487D-B51D-48BBE5F4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2960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Schröder</dc:creator>
  <cp:keywords/>
  <dc:description/>
  <cp:lastModifiedBy>die weinräte</cp:lastModifiedBy>
  <cp:revision>12</cp:revision>
  <cp:lastPrinted>2018-08-14T11:38:00Z</cp:lastPrinted>
  <dcterms:created xsi:type="dcterms:W3CDTF">2018-08-14T08:27:00Z</dcterms:created>
  <dcterms:modified xsi:type="dcterms:W3CDTF">2018-08-14T13:06:00Z</dcterms:modified>
</cp:coreProperties>
</file>